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A" w:rsidRPr="001C573A" w:rsidRDefault="001C573A" w:rsidP="001C573A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color w:val="111111"/>
          <w:sz w:val="3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111111"/>
          <w:sz w:val="24"/>
          <w:u w:val="single"/>
        </w:rPr>
        <w:t>РЕЗУЛЬТАТЫ ЕГЭ.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0000FF"/>
          <w:sz w:val="19"/>
        </w:rPr>
        <w:t>Результаты ЕГЭ можно узнать: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1" name="Рисунок 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t>в своей ОО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 — для обучающихся;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2" name="Рисунок 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t>в ППЭ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 — для выпускников прошлых лет, обучающихся СПО;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3" name="Рисунок 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t>на официальном портале ЕГЭ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 (</w:t>
      </w:r>
      <w:proofErr w:type="spellStart"/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fldChar w:fldCharType="begin"/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instrText xml:space="preserve"> HYPERLINK "http://check.ege.edu.ru/" \o "федеральный портал ЕГЭ" \t "_blank" </w:instrText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fldChar w:fldCharType="separate"/>
      </w:r>
      <w:r w:rsidRPr="001C573A">
        <w:rPr>
          <w:rFonts w:ascii="Verdana" w:eastAsia="Times New Roman" w:hAnsi="Verdana" w:cs="Times New Roman"/>
          <w:b/>
          <w:bCs/>
          <w:color w:val="57648E"/>
          <w:sz w:val="19"/>
          <w:u w:val="single"/>
        </w:rPr>
        <w:t>ege.edu.ru</w:t>
      </w:r>
      <w:proofErr w:type="spellEnd"/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fldChar w:fldCharType="end"/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)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0000FF"/>
          <w:sz w:val="19"/>
        </w:rPr>
        <w:t>Минимальный балл  ЕГЭ для получения аттестата:</w:t>
      </w:r>
      <w:r w:rsidRPr="001C573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br/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4" name="Рисунок 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>Русский язык  — 24 балла;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5" name="Рисунок 5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>Математика — 3 балла 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noProof/>
          <w:color w:val="57648E"/>
          <w:sz w:val="28"/>
          <w:szCs w:val="28"/>
          <w:bdr w:val="none" w:sz="0" w:space="0" w:color="auto" w:frame="1"/>
        </w:rPr>
        <w:drawing>
          <wp:inline distT="0" distB="0" distL="0" distR="0">
            <wp:extent cx="4759325" cy="5365115"/>
            <wp:effectExtent l="19050" t="0" r="3175" b="0"/>
            <wp:docPr id="6" name="Рисунок 6" descr="https://coko24.ru/wp-content/uploads/2011/10/%D0%91%D0%B0%D0%BB%D0%BB%D1%8B2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ko24.ru/wp-content/uploads/2011/10/%D0%91%D0%B0%D0%BB%D0%BB%D1%8B2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1C573A">
        <w:rPr>
          <w:rFonts w:ascii="Arial" w:eastAsia="Times New Roman" w:hAnsi="Arial" w:cs="Arial"/>
          <w:b/>
          <w:bCs/>
          <w:color w:val="0000FF"/>
          <w:sz w:val="28"/>
        </w:rPr>
        <w:t>Результаты ЕГЭ действительны</w:t>
      </w:r>
      <w:r w:rsidRPr="001C573A">
        <w:rPr>
          <w:rFonts w:ascii="Arial" w:eastAsia="Times New Roman" w:hAnsi="Arial" w:cs="Arial"/>
          <w:b/>
          <w:bCs/>
          <w:color w:val="111111"/>
          <w:sz w:val="28"/>
        </w:rPr>
        <w:t> (4 года, следующих за годом сдачи ЕГЭ).</w:t>
      </w:r>
      <w:r w:rsidRPr="001C573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br/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0000FF"/>
          <w:sz w:val="19"/>
          <w:szCs w:val="19"/>
          <w:bdr w:val="none" w:sz="0" w:space="0" w:color="auto" w:frame="1"/>
        </w:rPr>
        <w:t>Соответствие</w:t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 xml:space="preserve"> между минимальными первичными баллами и минимальными тестовыми баллами по </w:t>
      </w:r>
      <w:proofErr w:type="spellStart"/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>стобалльной</w:t>
      </w:r>
      <w:proofErr w:type="spellEnd"/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 xml:space="preserve"> системе оценивания для получения аттестата: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3689"/>
        <w:gridCol w:w="3558"/>
      </w:tblGrid>
      <w:tr w:rsidR="001C573A" w:rsidRPr="001C573A" w:rsidTr="001C57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Минимальный тестовый балл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24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27</w:t>
            </w:r>
          </w:p>
        </w:tc>
      </w:tr>
    </w:tbl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0000FF"/>
          <w:sz w:val="19"/>
          <w:szCs w:val="19"/>
          <w:bdr w:val="none" w:sz="0" w:space="0" w:color="auto" w:frame="1"/>
        </w:rPr>
        <w:t>Соответствие</w:t>
      </w:r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 xml:space="preserve"> между минимальными первичными баллами и минимальными тестовыми баллами по учебным предметам по </w:t>
      </w:r>
      <w:proofErr w:type="spellStart"/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>стобалльной</w:t>
      </w:r>
      <w:proofErr w:type="spellEnd"/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 xml:space="preserve"> системе оценивания: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1"/>
        <w:gridCol w:w="3630"/>
        <w:gridCol w:w="3506"/>
      </w:tblGrid>
      <w:tr w:rsidR="001C573A" w:rsidRPr="001C573A" w:rsidTr="001C57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Минимальный тестовый балл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36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27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42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32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36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36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36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37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40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22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32</w:t>
            </w:r>
          </w:p>
        </w:tc>
      </w:tr>
    </w:tbl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111111"/>
          <w:sz w:val="19"/>
          <w:szCs w:val="19"/>
          <w:bdr w:val="none" w:sz="0" w:space="0" w:color="auto" w:frame="1"/>
        </w:rPr>
        <w:t>Соответствие между баллами ЕГЭ по математике базового уровня и отметками по пятибалльной системе оценивания: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9"/>
        <w:gridCol w:w="2466"/>
        <w:gridCol w:w="2256"/>
        <w:gridCol w:w="1669"/>
        <w:gridCol w:w="1717"/>
      </w:tblGrid>
      <w:tr w:rsidR="001C573A" w:rsidRPr="001C573A" w:rsidTr="001C57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«2» (</w:t>
            </w:r>
            <w:proofErr w:type="spellStart"/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неудовлетворит</w:t>
            </w:r>
            <w:proofErr w:type="spellEnd"/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«3» (удовлетворит.)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«4» (хорошо)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6" w:type="dxa"/>
              <w:left w:w="416" w:type="dxa"/>
              <w:bottom w:w="156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312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57648E"/>
                <w:sz w:val="21"/>
                <w:szCs w:val="21"/>
              </w:rPr>
              <w:t>«5» (отлично)</w:t>
            </w:r>
          </w:p>
        </w:tc>
      </w:tr>
      <w:tr w:rsidR="001C573A" w:rsidRPr="001C573A" w:rsidTr="001C573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sz w:val="17"/>
                <w:szCs w:val="17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0-6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7-11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12-16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4" w:type="dxa"/>
              <w:left w:w="416" w:type="dxa"/>
              <w:bottom w:w="104" w:type="dxa"/>
              <w:right w:w="416" w:type="dxa"/>
            </w:tcMar>
            <w:vAlign w:val="bottom"/>
            <w:hideMark/>
          </w:tcPr>
          <w:p w:rsidR="001C573A" w:rsidRPr="001C573A" w:rsidRDefault="001C573A" w:rsidP="001C573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573A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</w:rPr>
              <w:t>17-20</w:t>
            </w:r>
          </w:p>
        </w:tc>
      </w:tr>
    </w:tbl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Шкала перевода — </w:t>
      </w:r>
      <w:proofErr w:type="spellStart"/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fldChar w:fldCharType="begin"/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instrText xml:space="preserve"> HYPERLINK "https://coko24.ru/wp-content/uploads/2019/04/%D0%A1%D0%BE%D0%BE%D1%82%D0%B2%D0%B5%D1%82%D1%81%D0%B2%D0%B8%D0%B5-%D0%BC%D0%B5%D0%B6%D0%B4%D1%83-%D1%82%D0%B5%D1%81%D1%82%D0%BE%D0%B2%D1%8B%D0%BC%D0%B8-%D0%B8-%D0%BF%D0%B5%D1%80%D0%B2%D0%B8%D1%87%D0%BD%D1%8B%D0%BC%D0%B8-%D0%B1%D0%B0%D0%BB%D0%BB%D0%B0%D0%BC%D0%B8-575-10-%D0%BE%D1%82-11-04-2019.pdf" </w:instrTex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fldChar w:fldCharType="separate"/>
      </w:r>
      <w:r w:rsidRPr="001C573A">
        <w:rPr>
          <w:rFonts w:ascii="Verdana" w:eastAsia="Times New Roman" w:hAnsi="Verdana" w:cs="Times New Roman"/>
          <w:color w:val="57648E"/>
          <w:sz w:val="19"/>
          <w:u w:val="single"/>
        </w:rPr>
        <w:t>Соответсвие</w:t>
      </w:r>
      <w:proofErr w:type="spellEnd"/>
      <w:r w:rsidRPr="001C573A">
        <w:rPr>
          <w:rFonts w:ascii="Verdana" w:eastAsia="Times New Roman" w:hAnsi="Verdana" w:cs="Times New Roman"/>
          <w:color w:val="57648E"/>
          <w:sz w:val="19"/>
          <w:u w:val="single"/>
        </w:rPr>
        <w:t xml:space="preserve"> между тестовыми и первичными баллами 575-10 от 11 04 2019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fldChar w:fldCharType="end"/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b/>
          <w:bCs/>
          <w:color w:val="111111"/>
          <w:sz w:val="19"/>
        </w:rPr>
        <w:t>По решению председателя ГЭК </w:t>
      </w:r>
      <w:r w:rsidRPr="001C573A">
        <w:rPr>
          <w:rFonts w:ascii="Verdana" w:eastAsia="Times New Roman" w:hAnsi="Verdana" w:cs="Times New Roman"/>
          <w:b/>
          <w:bCs/>
          <w:color w:val="0000FF"/>
          <w:sz w:val="19"/>
        </w:rPr>
        <w:t>повторно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 допускаются к сдаче экзаменов в текущем году: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7" name="Рисунок 7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обучающиеся</w:t>
      </w:r>
      <w:proofErr w:type="gramEnd"/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, получившие на ГИА неудовлетворительный результат по одному из обязательных учебных предметов;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при этом</w:t>
      </w:r>
      <w:proofErr w:type="gramStart"/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,</w:t>
      </w:r>
      <w:proofErr w:type="gramEnd"/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 xml:space="preserve"> при повторной сдаче ЕГЭ по математике  участник имеет  право выбрать любой из уровней, не зависимо от того, на каком уровне он сдавал предмет в основной день;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drawing>
          <wp:inline distT="0" distB="0" distL="0" distR="0">
            <wp:extent cx="176530" cy="143510"/>
            <wp:effectExtent l="19050" t="0" r="0" b="0"/>
            <wp:docPr id="8" name="Рисунок 8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обучающиеся и выпускники прошлых лет, не явившиеся на экзамены по уважительным причинам (болезнь или иные обстоятельства, подтвержденные документально);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noProof/>
          <w:color w:val="57648E"/>
          <w:sz w:val="19"/>
          <w:szCs w:val="19"/>
          <w:bdr w:val="none" w:sz="0" w:space="0" w:color="auto" w:frame="1"/>
        </w:rPr>
        <w:lastRenderedPageBreak/>
        <w:drawing>
          <wp:inline distT="0" distB="0" distL="0" distR="0">
            <wp:extent cx="176530" cy="143510"/>
            <wp:effectExtent l="19050" t="0" r="0" b="0"/>
            <wp:docPr id="9" name="Рисунок 9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обучающиеся и выпускники прошлых лет,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1C573A" w:rsidRPr="001C573A" w:rsidRDefault="001C573A" w:rsidP="001C573A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</w:rPr>
      </w:pP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Выпускникам текущего года, получившим </w:t>
      </w:r>
      <w:r w:rsidRPr="001C573A">
        <w:rPr>
          <w:rFonts w:ascii="Verdana" w:eastAsia="Times New Roman" w:hAnsi="Verdana" w:cs="Times New Roman"/>
          <w:b/>
          <w:bCs/>
          <w:color w:val="0000FF"/>
          <w:sz w:val="19"/>
        </w:rPr>
        <w:t>неудовлетворительные результаты</w:t>
      </w:r>
      <w:r w:rsidRPr="001C573A">
        <w:rPr>
          <w:rFonts w:ascii="Verdana" w:eastAsia="Times New Roman" w:hAnsi="Verdana" w:cs="Times New Roman"/>
          <w:color w:val="111111"/>
          <w:sz w:val="26"/>
          <w:szCs w:val="26"/>
        </w:rPr>
        <w:t> по русскому языку и математике, выдается справка об обучении в образовательной организации.</w:t>
      </w:r>
    </w:p>
    <w:p w:rsidR="00000000" w:rsidRDefault="001D2D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C573A"/>
    <w:rsid w:val="001C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73A"/>
    <w:rPr>
      <w:b/>
      <w:bCs/>
    </w:rPr>
  </w:style>
  <w:style w:type="character" w:styleId="a5">
    <w:name w:val="Hyperlink"/>
    <w:basedOn w:val="a0"/>
    <w:uiPriority w:val="99"/>
    <w:semiHidden/>
    <w:unhideWhenUsed/>
    <w:rsid w:val="001C57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ko24.ru/wp-content/uploads/2011/10/%D0%91%D0%B0%D0%BB%D0%BB%D1%8B2.bmp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oko24.ru/wp-content/uploads/2014/11/ban_ege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2021-05-28T08:56:00Z</dcterms:created>
  <dcterms:modified xsi:type="dcterms:W3CDTF">2021-05-28T09:06:00Z</dcterms:modified>
</cp:coreProperties>
</file>